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南银理财珠联璧合鑫逸稳一年182期（公益主题）封闭式公募人民币理财产品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南银理财珠联璧合鑫逸稳一年182期（公益主题）封闭式公募人民币理财产品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Z7003224000165（投资者可依据该编码在中国理财网www.chinawealth.com.cn查询理财产品相关信息）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2024年09月04日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910,382,912.00份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100.46%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中信信托有限责任公司,五矿国际信托有限公司,华鑫国际信托有限公司,广东粤财信托有限公司,百瑞信托有限责任公司,紫金信托有限责任公司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525,037,449.02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1.0247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1.0247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214,167,309.33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41,742,754.83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Y33182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32,687,146.13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Y34182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28,065,525.09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Y36182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11,750,996.04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Y37182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80,066,297.34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截至报告期末，本产品Y30182份额净值为1.0247元，Y31182份额净值为1.0255元，Y32182份额净值为1.0263元，Y33182份额净值为1.0271元，Y34182份额净值为1.0276元，Y36182份额净值为1.0259元，Y37182份额净值为1.0276元。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96.18</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3.82</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ZJQTT202401040001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五矿信托-苏鑫1号集合资金信托计划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272,993,759.77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29.24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208,009,196.18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22.28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XTDKX202409250002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百瑞恒益1571号集合资金信托计划（鹏南1号）1期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200,353,728.00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21.46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XTDKX202409190003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华鑫信托·惠盈格昱15号集合资金信托计划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13.93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粤财信托·瑞兴152号集合资金信托计划（第1期）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60,071,112.60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6.43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XTDKX202409250003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中信信托·兴邦71号泰州固定收益类信托计划（第1期）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30,055,407.90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XTDKX202409180001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百瑞恒益1570号集合资金信托计划（南瑞1号）第1期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30,051,784.50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3.22</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杭州西湖城市建设投资集团有限公司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粤财信托·瑞兴152号集合资金信托计划（第1期）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华鑫信托·惠盈格昱15号集合资金信托计划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泰州国控投资集团有限公司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中信信托·兴邦71号泰州固定收益类信托计划（第1期）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88</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靖江市欣城建设发展有限公司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百瑞恒益1571号集合资金信托计划（鹏南1号）1期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阜宁县城发控股集团有限公司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百瑞恒益1570号集合资金信托计划（南瑞1号）第1期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0101020000001149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南京银行南京分行南银理财鑫逸稳一年182期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206,000,000.00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528,800.35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